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120" w:after="0"/>
        <w:ind w:hanging="0" w:start="0" w:end="0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</w:rPr>
        <w:t>ОТЧЁТ</w:t>
      </w:r>
      <w:r>
        <w:rPr/>
        <w:t xml:space="preserve"> </w:t>
      </w:r>
      <w:r>
        <w:rPr>
          <w:b/>
          <w:bCs/>
          <w:color w:val="000000"/>
          <w:sz w:val="22"/>
          <w:szCs w:val="22"/>
        </w:rPr>
        <w:t>ОБ ИТОГАХ ГОЛОСОВАНИЯ НА ВНЕОЧЕРЕДНОМ ОБЩИМ СОБРАНИИ АКЦИОНЕРОВ</w:t>
      </w:r>
    </w:p>
    <w:p>
      <w:pPr>
        <w:pStyle w:val="Normal"/>
        <w:bidi w:val="0"/>
        <w:spacing w:before="120" w:after="0"/>
        <w:ind w:hanging="0" w:start="0" w:end="0"/>
        <w:jc w:val="center"/>
        <w:rPr/>
      </w:pPr>
      <w:r>
        <w:rPr>
          <w:b/>
          <w:bCs/>
          <w:color w:val="000000"/>
          <w:sz w:val="22"/>
          <w:szCs w:val="22"/>
        </w:rPr>
        <w:t>Акционерного общества Вычислительный центр «Инкомус»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Полное фирменное наименование общества:</w:t>
      </w:r>
      <w:r>
        <w:rPr>
          <w:color w:val="000000"/>
          <w:sz w:val="22"/>
          <w:szCs w:val="22"/>
        </w:rPr>
        <w:t xml:space="preserve"> Акционерное общество Вычислительный центр "Инкомус"        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Место нахождения и адрес общества:</w:t>
      </w:r>
      <w:r>
        <w:rPr>
          <w:color w:val="000000"/>
          <w:sz w:val="22"/>
          <w:szCs w:val="22"/>
        </w:rPr>
        <w:t xml:space="preserve"> 614000, ул. Ленина, д. 49, корпус А, г. Пермь, Пермский край, Россия        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Место проведения заседания акционеров:</w:t>
      </w:r>
      <w:r>
        <w:rPr>
          <w:color w:val="000000"/>
          <w:sz w:val="22"/>
          <w:szCs w:val="22"/>
        </w:rPr>
        <w:t xml:space="preserve"> г. Пермь, ул. Ленина, 49 а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Вид общего собрания акционеров</w:t>
      </w:r>
      <w:r>
        <w:rPr>
          <w:color w:val="000000"/>
          <w:sz w:val="22"/>
          <w:szCs w:val="22"/>
        </w:rPr>
        <w:t xml:space="preserve">: Внеочередное        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Способ принятия решения общим собранием акционеров:</w:t>
      </w:r>
      <w:r>
        <w:rPr>
          <w:color w:val="000000"/>
          <w:sz w:val="22"/>
          <w:szCs w:val="22"/>
        </w:rPr>
        <w:t xml:space="preserve"> Заседание      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Дата проведения общего собрания акционеров</w:t>
      </w:r>
      <w:r>
        <w:rPr>
          <w:color w:val="000000"/>
          <w:sz w:val="22"/>
          <w:szCs w:val="22"/>
        </w:rPr>
        <w:t xml:space="preserve">: 28.10.2025          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bookmarkStart w:id="0" w:name="Соб_РегВремяНач_Копия_1"/>
      <w:bookmarkEnd w:id="0"/>
      <w:r>
        <w:rPr>
          <w:color w:val="000000"/>
          <w:sz w:val="22"/>
          <w:szCs w:val="22"/>
          <w:u w:val="single"/>
        </w:rPr>
        <w:t xml:space="preserve">Дата определения (фиксации) лиц, имеющих право голоса для принятия решения общим собранием акционеров: </w:t>
      </w:r>
      <w:r>
        <w:rPr>
          <w:color w:val="000000"/>
          <w:sz w:val="22"/>
          <w:szCs w:val="22"/>
        </w:rPr>
        <w:t xml:space="preserve">05.10.2025          </w:t>
      </w:r>
    </w:p>
    <w:p>
      <w:pPr>
        <w:pStyle w:val="Normal"/>
        <w:keepNext w:val="true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Время начала регистрации лиц, имевших право на участие в заседании общего собрания (время местное):</w:t>
      </w:r>
      <w:r>
        <w:rPr>
          <w:color w:val="000000"/>
          <w:sz w:val="22"/>
          <w:szCs w:val="22"/>
        </w:rPr>
        <w:t xml:space="preserve"> </w:t>
      </w:r>
      <w:bookmarkStart w:id="1" w:name="Соб_РегВремяНач"/>
      <w:r>
        <w:rPr>
          <w:color w:val="000000"/>
          <w:sz w:val="22"/>
          <w:szCs w:val="22"/>
        </w:rPr>
        <w:t>10:30</w:t>
      </w:r>
      <w:bookmarkEnd w:id="1"/>
      <w:r>
        <w:rPr>
          <w:color w:val="000000"/>
          <w:sz w:val="22"/>
          <w:szCs w:val="22"/>
        </w:rPr>
        <w:t xml:space="preserve">          </w:t>
      </w:r>
    </w:p>
    <w:p>
      <w:pPr>
        <w:pStyle w:val="Normal"/>
        <w:keepNext w:val="true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Время окончания регистрации лиц, имевших право на участие в    заседании      общего собрания    (время местное):</w:t>
      </w:r>
      <w:r>
        <w:rPr>
          <w:color w:val="000000"/>
          <w:sz w:val="22"/>
          <w:szCs w:val="22"/>
        </w:rPr>
        <w:t xml:space="preserve"> 11</w:t>
      </w:r>
      <w:bookmarkStart w:id="2" w:name="Соб_РегВремяКон"/>
      <w:r>
        <w:rPr>
          <w:color w:val="000000"/>
          <w:sz w:val="22"/>
          <w:szCs w:val="22"/>
        </w:rPr>
        <w:t>:20</w:t>
      </w:r>
      <w:bookmarkEnd w:id="2"/>
      <w:r>
        <w:rPr>
          <w:color w:val="000000"/>
          <w:sz w:val="22"/>
          <w:szCs w:val="22"/>
        </w:rPr>
        <w:t xml:space="preserve">            </w:t>
      </w:r>
    </w:p>
    <w:p>
      <w:pPr>
        <w:pStyle w:val="Normal"/>
        <w:keepNext w:val="true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Время открытия заседания общего собрания (время местное):</w:t>
      </w:r>
      <w:r>
        <w:rPr>
          <w:color w:val="000000"/>
          <w:sz w:val="22"/>
          <w:szCs w:val="22"/>
        </w:rPr>
        <w:t xml:space="preserve"> </w:t>
      </w:r>
      <w:bookmarkStart w:id="3" w:name="Соб_ПроведВремяНач"/>
      <w:r>
        <w:rPr>
          <w:color w:val="000000"/>
          <w:sz w:val="22"/>
          <w:szCs w:val="22"/>
        </w:rPr>
        <w:t>11:00</w:t>
      </w:r>
      <w:bookmarkEnd w:id="3"/>
      <w:r>
        <w:rPr>
          <w:color w:val="000000"/>
          <w:sz w:val="22"/>
          <w:szCs w:val="22"/>
        </w:rPr>
        <w:t xml:space="preserve">            </w:t>
      </w:r>
    </w:p>
    <w:p>
      <w:pPr>
        <w:pStyle w:val="Normal"/>
        <w:keepNext w:val="true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Время закрытия заседания общего собрания (время местное):</w:t>
      </w:r>
      <w:r>
        <w:rPr>
          <w:color w:val="000000"/>
          <w:sz w:val="22"/>
          <w:szCs w:val="22"/>
        </w:rPr>
        <w:t xml:space="preserve"> 11</w:t>
      </w:r>
      <w:bookmarkStart w:id="4" w:name="Соб_ПроведВремяКон"/>
      <w:r>
        <w:rPr>
          <w:color w:val="000000"/>
          <w:sz w:val="22"/>
          <w:szCs w:val="22"/>
        </w:rPr>
        <w:t>:30</w:t>
      </w:r>
      <w:bookmarkEnd w:id="4"/>
      <w:r>
        <w:rPr>
          <w:color w:val="000000"/>
          <w:sz w:val="22"/>
          <w:szCs w:val="22"/>
        </w:rPr>
        <w:t xml:space="preserve">          </w:t>
      </w:r>
    </w:p>
    <w:p>
      <w:pPr>
        <w:pStyle w:val="Normal"/>
        <w:keepNext w:val="true"/>
        <w:bidi w:val="0"/>
        <w:spacing w:before="120" w:after="0"/>
        <w:ind w:hanging="0" w:start="0" w:end="0"/>
        <w:jc w:val="both"/>
        <w:rPr/>
      </w:pPr>
      <w:bookmarkStart w:id="5" w:name="Соб_ФормаЗаоч_ОбрамВырез_Копия_1"/>
      <w:bookmarkStart w:id="6" w:name="Соб_ФормаЗаоч_ОбрамВырез"/>
      <w:bookmarkEnd w:id="5"/>
      <w:bookmarkEnd w:id="6"/>
      <w:r>
        <w:rPr>
          <w:color w:val="000000"/>
          <w:sz w:val="22"/>
          <w:szCs w:val="22"/>
          <w:u w:val="single"/>
        </w:rPr>
        <w:t>Время начала подсчета    голосов (время местное):</w:t>
      </w:r>
      <w:r>
        <w:rPr>
          <w:color w:val="000000"/>
          <w:sz w:val="22"/>
          <w:szCs w:val="22"/>
        </w:rPr>
        <w:t xml:space="preserve"> 11</w:t>
      </w:r>
      <w:bookmarkStart w:id="7" w:name="Соб_РезНеОглаш_ОбрамВырез"/>
      <w:r>
        <w:rPr>
          <w:color w:val="000000"/>
          <w:sz w:val="22"/>
          <w:szCs w:val="22"/>
        </w:rPr>
        <w:t>:20</w:t>
      </w:r>
      <w:bookmarkEnd w:id="7"/>
      <w:r>
        <w:rPr>
          <w:color w:val="000000"/>
          <w:sz w:val="22"/>
          <w:szCs w:val="22"/>
        </w:rPr>
        <w:t xml:space="preserve">          </w:t>
      </w:r>
    </w:p>
    <w:p>
      <w:pPr>
        <w:pStyle w:val="Normal"/>
        <w:bidi w:val="0"/>
        <w:spacing w:before="120" w:after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Повестка дня общего собрания и результаты регистрации</w:t>
      </w:r>
      <w:r>
        <w:rPr>
          <w:bCs/>
          <w:color w:val="000000"/>
          <w:sz w:val="22"/>
          <w:szCs w:val="22"/>
          <w:u w:val="single"/>
        </w:rPr>
        <w:t>:</w:t>
      </w:r>
    </w:p>
    <w:tbl>
      <w:tblPr>
        <w:tblW w:w="9464" w:type="dxa"/>
        <w:jc w:val="start"/>
        <w:tblInd w:w="12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31"/>
        <w:gridCol w:w="3263"/>
        <w:gridCol w:w="2265"/>
        <w:gridCol w:w="1846"/>
        <w:gridCol w:w="1559"/>
      </w:tblGrid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2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Текст вопроса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</w:t>
            </w:r>
          </w:p>
        </w:tc>
        <w:tc>
          <w:tcPr>
            <w:tcW w:w="18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Число голосов, которыми обладали лица, принявшие участие в заседании или заочном голосовании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Наличие кворума для принятия решений по вопросам повестки дня</w:t>
            </w:r>
          </w:p>
        </w:tc>
      </w:tr>
    </w:tbl>
    <w:p>
      <w:pPr>
        <w:pStyle w:val="NoSpacing"/>
        <w:bidi w:val="0"/>
        <w:ind w:hanging="0" w:start="0" w:end="0"/>
        <w:jc w:val="both"/>
        <w:rPr>
          <w:color w:val="000000"/>
          <w:sz w:val="6"/>
          <w:szCs w:val="6"/>
        </w:rPr>
      </w:pPr>
      <w:r>
        <w:rPr>
          <w:color w:val="000000"/>
          <w:sz w:val="6"/>
          <w:szCs w:val="6"/>
        </w:rPr>
      </w:r>
    </w:p>
    <w:tbl>
      <w:tblPr>
        <w:tblW w:w="9464" w:type="dxa"/>
        <w:jc w:val="start"/>
        <w:tblInd w:w="12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31"/>
        <w:gridCol w:w="3263"/>
        <w:gridCol w:w="2265"/>
        <w:gridCol w:w="1846"/>
        <w:gridCol w:w="1559"/>
      </w:tblGrid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lang w:val="en-US"/>
              </w:rPr>
            </w:pPr>
            <w:bookmarkStart w:id="8" w:name="Таблица_ПД"/>
            <w:bookmarkEnd w:id="8"/>
            <w:r>
              <w:rPr>
                <w:bCs/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32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8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2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Принятие решения о вступлении АО ВЦ «Инкомус» в Ассоциацию платёжных агентов — операторов по приёму платежей ОГРН 1247700149608 ИНН 9704236270. 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107 120</w:t>
            </w:r>
          </w:p>
        </w:tc>
        <w:tc>
          <w:tcPr>
            <w:tcW w:w="18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106 577 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99.4931 % (Имеется)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2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Предоставление полномочий на представление интересов АО ВЦ «Инкомус» перед Ассоциацией генеральному директору общества. 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107 120</w:t>
            </w:r>
          </w:p>
        </w:tc>
        <w:tc>
          <w:tcPr>
            <w:tcW w:w="18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106 577 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120" w:after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99.4931 % (Имеется)</w:t>
            </w:r>
          </w:p>
        </w:tc>
      </w:tr>
    </w:tbl>
    <w:p>
      <w:pPr>
        <w:pStyle w:val="NoSpacing"/>
        <w:bidi w:val="0"/>
        <w:ind w:hanging="0" w:start="0" w:end="0"/>
        <w:jc w:val="both"/>
        <w:rPr>
          <w:iCs/>
          <w:color w:val="000000"/>
          <w:sz w:val="22"/>
          <w:szCs w:val="22"/>
        </w:rPr>
      </w:pPr>
      <w:r>
        <w:rPr>
          <w:iCs/>
          <w:color w:val="000000"/>
          <w:sz w:val="22"/>
          <w:szCs w:val="22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iCs/>
          <w:color w:val="000000"/>
          <w:sz w:val="22"/>
          <w:szCs w:val="22"/>
        </w:rPr>
        <w:t>Обществом</w:t>
      </w:r>
      <w:r>
        <w:rPr>
          <w:color w:val="000000"/>
          <w:sz w:val="22"/>
          <w:szCs w:val="22"/>
        </w:rPr>
        <w:t xml:space="preserve"> выпущено и размещено:</w:t>
      </w:r>
    </w:p>
    <w:p>
      <w:pPr>
        <w:pStyle w:val="NoSpacing"/>
        <w:numPr>
          <w:ilvl w:val="0"/>
          <w:numId w:val="1"/>
        </w:numPr>
        <w:bidi w:val="0"/>
        <w:ind w:hanging="360" w:start="720" w:end="0"/>
        <w:jc w:val="both"/>
        <w:rPr/>
      </w:pPr>
      <w:r>
        <w:rPr>
          <w:color w:val="000000"/>
          <w:sz w:val="22"/>
          <w:szCs w:val="22"/>
        </w:rPr>
        <w:t xml:space="preserve">обыкновенных акций </w:t>
        <w:tab/>
        <w:t>- 107 120</w:t>
      </w:r>
    </w:p>
    <w:p>
      <w:pPr>
        <w:pStyle w:val="NoSpacing"/>
        <w:bidi w:val="0"/>
        <w:ind w:hanging="0" w:start="1440" w:end="0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</w:rPr>
        <w:t xml:space="preserve">В список лиц, имеющих право голоса при принятии решений общим собранием акционеров, включено </w:t>
      </w:r>
      <w:bookmarkStart w:id="9" w:name="Соб_ЗЛВсего"/>
      <w:r>
        <w:rPr>
          <w:color w:val="000000"/>
          <w:sz w:val="22"/>
          <w:szCs w:val="22"/>
        </w:rPr>
        <w:t>11</w:t>
      </w:r>
      <w:bookmarkEnd w:id="9"/>
      <w:r>
        <w:rPr>
          <w:color w:val="000000"/>
          <w:sz w:val="22"/>
          <w:szCs w:val="22"/>
        </w:rPr>
        <w:t xml:space="preserve">      акционеров, обладающих в совокупности </w:t>
      </w:r>
      <w:bookmarkStart w:id="10" w:name="Соб_АкцВсего"/>
      <w:r>
        <w:rPr>
          <w:color w:val="000000"/>
          <w:sz w:val="22"/>
          <w:szCs w:val="22"/>
        </w:rPr>
        <w:t>107 120</w:t>
      </w:r>
      <w:bookmarkEnd w:id="10"/>
      <w:r>
        <w:rPr>
          <w:color w:val="000000"/>
          <w:sz w:val="22"/>
          <w:szCs w:val="22"/>
        </w:rPr>
        <w:t xml:space="preserve"> (С</w:t>
      </w:r>
      <w:bookmarkStart w:id="11" w:name="Соб_АкцВсего_Пр"/>
      <w:r>
        <w:rPr>
          <w:color w:val="000000"/>
          <w:sz w:val="22"/>
          <w:szCs w:val="22"/>
        </w:rPr>
        <w:t>то семь тысяч сто двадцать</w:t>
      </w:r>
      <w:bookmarkEnd w:id="11"/>
      <w:r>
        <w:rPr>
          <w:color w:val="000000"/>
          <w:sz w:val="22"/>
          <w:szCs w:val="22"/>
        </w:rPr>
        <w:t xml:space="preserve">) акциями </w:t>
      </w:r>
      <w:r>
        <w:rPr>
          <w:iCs/>
          <w:color w:val="000000"/>
          <w:sz w:val="22"/>
          <w:szCs w:val="22"/>
        </w:rPr>
        <w:t>Общества</w:t>
      </w:r>
      <w:r>
        <w:rPr>
          <w:color w:val="000000"/>
          <w:sz w:val="22"/>
          <w:szCs w:val="22"/>
        </w:rPr>
        <w:t xml:space="preserve">, из них обыкновенных </w:t>
      </w:r>
      <w:bookmarkStart w:id="12" w:name="Соб_АкцВсегоАО"/>
      <w:r>
        <w:rPr>
          <w:color w:val="000000"/>
          <w:sz w:val="22"/>
          <w:szCs w:val="22"/>
        </w:rPr>
        <w:t>107 120</w:t>
      </w:r>
      <w:bookmarkEnd w:id="12"/>
      <w:r>
        <w:rPr>
          <w:color w:val="000000"/>
          <w:sz w:val="22"/>
          <w:szCs w:val="22"/>
        </w:rPr>
        <w:t>    (С</w:t>
      </w:r>
      <w:bookmarkStart w:id="13" w:name="Соб_АкцВсегоАО_Пр"/>
      <w:r>
        <w:rPr>
          <w:color w:val="000000"/>
          <w:sz w:val="22"/>
          <w:szCs w:val="22"/>
        </w:rPr>
        <w:t>то семь тысяч сто двадцать</w:t>
      </w:r>
      <w:bookmarkEnd w:id="13"/>
      <w:r>
        <w:rPr>
          <w:color w:val="000000"/>
          <w:sz w:val="22"/>
          <w:szCs w:val="22"/>
        </w:rPr>
        <w:t xml:space="preserve">) </w:t>
      </w:r>
      <w:bookmarkStart w:id="14" w:name="Соб_АкцВсегоАП"/>
      <w:bookmarkStart w:id="15" w:name="Соб_АкцВсегоАП_Пр"/>
      <w:bookmarkEnd w:id="14"/>
      <w:bookmarkEnd w:id="15"/>
      <w:r>
        <w:rPr>
          <w:color w:val="000000"/>
          <w:sz w:val="22"/>
          <w:szCs w:val="22"/>
        </w:rPr>
        <w:t>акций.</w:t>
      </w:r>
    </w:p>
    <w:p>
      <w:pPr>
        <w:pStyle w:val="cef1edeee2ed"/>
        <w:tabs>
          <w:tab w:val="left" w:pos="142" w:leader="none"/>
          <w:tab w:val="left" w:pos="397" w:leader="none"/>
          <w:tab w:val="left" w:pos="737" w:leader="none"/>
        </w:tabs>
        <w:bidi w:val="0"/>
        <w:spacing w:lineRule="atLeast" w:line="200"/>
        <w:ind w:firstLine="709" w:start="0" w:end="43"/>
        <w:rPr>
          <w:rFonts w:ascii="Times New Roman" w:hAnsi="Times New Roman"/>
          <w:sz w:val="22"/>
          <w:szCs w:val="22"/>
          <w:lang w:val="ru-RU"/>
        </w:rPr>
      </w:pPr>
      <w:r>
        <w:rPr>
          <w:sz w:val="22"/>
          <w:szCs w:val="22"/>
          <w:lang w:val="ru-RU"/>
        </w:rPr>
      </w:r>
    </w:p>
    <w:p>
      <w:pPr>
        <w:pStyle w:val="cef1edeee2ed"/>
        <w:tabs>
          <w:tab w:val="left" w:pos="142" w:leader="none"/>
          <w:tab w:val="left" w:pos="397" w:leader="none"/>
          <w:tab w:val="left" w:pos="737" w:leader="none"/>
        </w:tabs>
        <w:bidi w:val="0"/>
        <w:spacing w:lineRule="atLeast" w:line="200"/>
        <w:ind w:hanging="0" w:start="0" w:end="43"/>
        <w:rPr>
          <w:rFonts w:ascii="Times New Roman" w:hAnsi="Times New Roman"/>
          <w:lang w:val="ru-RU"/>
        </w:rPr>
      </w:pPr>
      <w:r>
        <w:rPr>
          <w:sz w:val="22"/>
          <w:szCs w:val="22"/>
          <w:lang w:val="ru-RU"/>
        </w:rPr>
        <w:t xml:space="preserve">К определению кворума приняты </w:t>
      </w:r>
      <w:bookmarkStart w:id="16" w:name="Соб_АкцКворум"/>
      <w:r>
        <w:rPr>
          <w:sz w:val="22"/>
          <w:szCs w:val="22"/>
          <w:lang w:val="ru-RU"/>
        </w:rPr>
        <w:t>107 120</w:t>
      </w:r>
      <w:bookmarkEnd w:id="16"/>
      <w:r>
        <w:rPr>
          <w:sz w:val="22"/>
          <w:szCs w:val="22"/>
          <w:lang w:val="ru-RU"/>
        </w:rPr>
        <w:t xml:space="preserve"> (С</w:t>
      </w:r>
      <w:bookmarkStart w:id="17" w:name="Соб_АкцКворум_Пр"/>
      <w:r>
        <w:rPr>
          <w:sz w:val="22"/>
          <w:szCs w:val="22"/>
          <w:lang w:val="ru-RU"/>
        </w:rPr>
        <w:t>то семь тысяч сто двадцать</w:t>
      </w:r>
      <w:bookmarkEnd w:id="17"/>
      <w:r>
        <w:rPr>
          <w:sz w:val="22"/>
          <w:szCs w:val="22"/>
          <w:lang w:val="ru-RU"/>
        </w:rPr>
        <w:t xml:space="preserve">)    штук голосующих акций общества, в том числе обыкновенных акций </w:t>
      </w:r>
      <w:bookmarkStart w:id="18" w:name="Соб_АкцКворумАО"/>
      <w:r>
        <w:rPr>
          <w:sz w:val="22"/>
          <w:szCs w:val="22"/>
          <w:lang w:val="ru-RU"/>
        </w:rPr>
        <w:t>107 120</w:t>
      </w:r>
      <w:bookmarkEnd w:id="18"/>
      <w:r>
        <w:rPr>
          <w:sz w:val="22"/>
          <w:szCs w:val="22"/>
          <w:lang w:val="ru-RU"/>
        </w:rPr>
        <w:t xml:space="preserve"> (С</w:t>
      </w:r>
      <w:bookmarkStart w:id="19" w:name="Соб_АкцКворумАО_Пр"/>
      <w:r>
        <w:rPr>
          <w:sz w:val="22"/>
          <w:szCs w:val="22"/>
          <w:lang w:val="ru-RU"/>
        </w:rPr>
        <w:t>то семь тысяч сто двадцать</w:t>
      </w:r>
      <w:bookmarkEnd w:id="19"/>
      <w:r>
        <w:rPr>
          <w:sz w:val="22"/>
          <w:szCs w:val="22"/>
          <w:lang w:val="ru-RU"/>
        </w:rPr>
        <w:t>)</w:t>
      </w:r>
      <w:bookmarkStart w:id="20" w:name="Соб_АкцКворумАП"/>
      <w:bookmarkStart w:id="21" w:name="Соб_АкцКворумАП_Пр"/>
      <w:bookmarkEnd w:id="20"/>
      <w:bookmarkEnd w:id="21"/>
      <w:r>
        <w:rPr>
          <w:sz w:val="22"/>
          <w:szCs w:val="22"/>
          <w:lang w:val="ru-RU"/>
        </w:rPr>
        <w:t>, предоставляющих право голоса по всем вопросам компетенции общего собрания.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</w:rPr>
        <w:t xml:space="preserve">В собрании    приняли участие    </w:t>
      </w:r>
      <w:bookmarkStart w:id="22" w:name="Соб_ЗЛЗарег"/>
      <w:r>
        <w:rPr>
          <w:color w:val="000000"/>
          <w:sz w:val="22"/>
          <w:szCs w:val="22"/>
        </w:rPr>
        <w:t>6</w:t>
      </w:r>
      <w:bookmarkEnd w:id="22"/>
      <w:r>
        <w:rPr>
          <w:color w:val="000000"/>
          <w:sz w:val="22"/>
          <w:szCs w:val="22"/>
        </w:rPr>
        <w:t xml:space="preserve"> акционеров (и их уполномоченных представителей), обладающих в совокупности </w:t>
      </w:r>
      <w:bookmarkStart w:id="23" w:name="Соб_АкцЗарег"/>
      <w:r>
        <w:rPr>
          <w:color w:val="000000"/>
          <w:sz w:val="22"/>
          <w:szCs w:val="22"/>
        </w:rPr>
        <w:t>106 577</w:t>
      </w:r>
      <w:bookmarkEnd w:id="23"/>
      <w:r>
        <w:rPr>
          <w:color w:val="000000"/>
          <w:sz w:val="22"/>
          <w:szCs w:val="22"/>
        </w:rPr>
        <w:t xml:space="preserve"> голосующими акциями, что составляет </w:t>
      </w:r>
      <w:bookmarkStart w:id="24" w:name="Соб_ПроцАкцЗарег"/>
      <w:r>
        <w:rPr>
          <w:color w:val="000000"/>
          <w:sz w:val="22"/>
          <w:szCs w:val="22"/>
        </w:rPr>
        <w:t>99.4931</w:t>
      </w:r>
      <w:bookmarkEnd w:id="24"/>
      <w:r>
        <w:rPr>
          <w:color w:val="000000"/>
          <w:sz w:val="22"/>
          <w:szCs w:val="22"/>
        </w:rPr>
        <w:t xml:space="preserve"> </w:t>
      </w:r>
      <w:r>
        <w:rPr>
          <w:bCs/>
          <w:color w:val="000000"/>
          <w:sz w:val="22"/>
          <w:szCs w:val="22"/>
        </w:rPr>
        <w:t>%</w:t>
      </w:r>
      <w:r>
        <w:rPr>
          <w:color w:val="000000"/>
          <w:sz w:val="22"/>
          <w:szCs w:val="22"/>
        </w:rPr>
        <w:t xml:space="preserve"> от общего числа голосующих акций общества, принятых к определению кворума.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</w:rPr>
        <w:t xml:space="preserve">В соответствии с п.1 ст.58 ФЗ «Об акционерных обществах», собрание акционеров правомочно, если в заседании или заочном голосовании приняли участие акционеры, обладающие в совокупности более чем половиной голосов размещенных голосующих акций </w:t>
      </w:r>
      <w:r>
        <w:rPr>
          <w:iCs/>
          <w:color w:val="000000"/>
          <w:sz w:val="22"/>
          <w:szCs w:val="22"/>
        </w:rPr>
        <w:t>Общества</w:t>
      </w:r>
      <w:r>
        <w:rPr>
          <w:color w:val="000000"/>
          <w:sz w:val="22"/>
          <w:szCs w:val="22"/>
        </w:rPr>
        <w:t>.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</w:rPr>
        <w:t xml:space="preserve">На момент открытия собрания </w:t>
      </w:r>
      <w:bookmarkStart w:id="25" w:name="Соб_КворумТекстФ"/>
      <w:r>
        <w:rPr>
          <w:color w:val="000000"/>
          <w:sz w:val="22"/>
          <w:szCs w:val="22"/>
        </w:rPr>
        <w:t>Кворум имеется по всем вопросам</w:t>
      </w:r>
      <w:bookmarkEnd w:id="25"/>
      <w:r>
        <w:rPr>
          <w:color w:val="000000"/>
          <w:sz w:val="22"/>
          <w:szCs w:val="22"/>
        </w:rPr>
        <w:t>.</w:t>
      </w:r>
    </w:p>
    <w:p>
      <w:pPr>
        <w:pStyle w:val="Normal"/>
        <w:bidi w:val="0"/>
        <w:spacing w:before="120" w:after="0"/>
        <w:ind w:hanging="0" w:start="0" w:end="0"/>
        <w:jc w:val="both"/>
        <w:rPr/>
      </w:pPr>
      <w:r>
        <w:rPr>
          <w:color w:val="000000"/>
          <w:sz w:val="22"/>
          <w:szCs w:val="22"/>
        </w:rPr>
        <w:t xml:space="preserve">Всего сдано бюллетеней </w:t>
      </w:r>
      <w:bookmarkStart w:id="26" w:name="Соб_БюлСдано"/>
      <w:r>
        <w:rPr>
          <w:color w:val="000000"/>
          <w:sz w:val="22"/>
          <w:szCs w:val="22"/>
        </w:rPr>
        <w:t>12</w:t>
      </w:r>
      <w:bookmarkEnd w:id="26"/>
      <w:r>
        <w:rPr>
          <w:color w:val="000000"/>
          <w:sz w:val="22"/>
          <w:szCs w:val="22"/>
        </w:rPr>
        <w:t>.</w:t>
      </w:r>
    </w:p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 xml:space="preserve">Вопрос повестки дня № 1.    </w:t>
      </w:r>
      <w:bookmarkStart w:id="27" w:name="В001_Обрам_ВырезкаПодВопр"/>
      <w:bookmarkEnd w:id="27"/>
      <w:r>
        <w:rPr>
          <w:color w:val="000000"/>
          <w:sz w:val="22"/>
          <w:szCs w:val="22"/>
          <w:u w:val="single"/>
        </w:rPr>
        <w:t>Принятие решения о вступлении АО ВЦ «Инкомус» в Ассоциацию платёжных агентов — операторов по приёму платежей ОГРН 1247700149608 ИНН 9704236270.</w:t>
      </w:r>
    </w:p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Spacing"/>
        <w:bidi w:val="0"/>
        <w:ind w:hanging="0" w:start="0" w:end="0"/>
        <w:jc w:val="both"/>
        <w:rPr/>
      </w:pPr>
      <w:bookmarkStart w:id="28" w:name="В001_ФормПравилоПринРеш"/>
      <w:r>
        <w:rPr>
          <w:color w:val="000000"/>
          <w:sz w:val="22"/>
          <w:szCs w:val="22"/>
        </w:rPr>
        <w:t>В соответствии с п.2 ст. 49 ФЗ «Об акционерных обществах»   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28"/>
    </w:p>
    <w:p>
      <w:pPr>
        <w:pStyle w:val="NoSpacing"/>
        <w:bidi w:val="0"/>
        <w:spacing w:before="120" w:after="0"/>
        <w:ind w:hanging="0" w:start="0" w:end="0"/>
        <w:jc w:val="both"/>
        <w:rPr/>
      </w:pPr>
      <w:bookmarkStart w:id="29" w:name="В001_ФормОгранич"/>
      <w:bookmarkEnd w:id="29"/>
      <w:r>
        <w:rPr>
          <w:color w:val="000000"/>
          <w:sz w:val="22"/>
          <w:szCs w:val="22"/>
        </w:rPr>
        <w:t>По данному вопросу повестки дня:</w:t>
      </w:r>
    </w:p>
    <w:tbl>
      <w:tblPr>
        <w:tblW w:w="9637" w:type="dxa"/>
        <w:jc w:val="start"/>
        <w:tblInd w:w="231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953"/>
        <w:gridCol w:w="3683"/>
      </w:tblGrid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30" w:name="В001_ФормТекст1"/>
            <w:r>
              <w:rPr>
                <w:color w:val="000000"/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30"/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31" w:name="В001_ГолВсегоСписок"/>
            <w:r>
              <w:rPr>
                <w:color w:val="000000"/>
                <w:sz w:val="22"/>
                <w:szCs w:val="22"/>
              </w:rPr>
              <w:t>107 120</w:t>
            </w:r>
            <w:bookmarkEnd w:id="31"/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32" w:name="В001_ГолВсегоСписок_Пр"/>
            <w:r>
              <w:rPr>
                <w:color w:val="000000"/>
                <w:sz w:val="22"/>
                <w:szCs w:val="22"/>
              </w:rPr>
              <w:t>сто семь тысяч сто двадцать</w:t>
            </w:r>
            <w:bookmarkEnd w:id="32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660-П.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33" w:name="В001_ГолВсегоКворум"/>
            <w:r>
              <w:rPr>
                <w:color w:val="000000"/>
                <w:sz w:val="22"/>
                <w:szCs w:val="22"/>
              </w:rPr>
              <w:t>107 120</w:t>
            </w:r>
            <w:bookmarkEnd w:id="33"/>
            <w:r>
              <w:rPr>
                <w:color w:val="000000"/>
                <w:sz w:val="22"/>
                <w:szCs w:val="22"/>
              </w:rPr>
              <w:t xml:space="preserve"> (100%)</w:t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34" w:name="В001_ГолВсегоКворум_Пр"/>
            <w:r>
              <w:rPr>
                <w:color w:val="000000"/>
                <w:sz w:val="22"/>
                <w:szCs w:val="22"/>
              </w:rPr>
              <w:t>сто семь тысяч сто двадцать</w:t>
            </w:r>
            <w:bookmarkEnd w:id="34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заседании или заочном голосовании приняли участие    </w:t>
            </w:r>
            <w:bookmarkStart w:id="35" w:name="В001_ЗЛЗарегУчит"/>
            <w:r>
              <w:rPr>
                <w:color w:val="000000"/>
                <w:sz w:val="22"/>
                <w:szCs w:val="22"/>
              </w:rPr>
              <w:t>6</w:t>
            </w:r>
            <w:bookmarkEnd w:id="35"/>
            <w:r>
              <w:rPr>
                <w:color w:val="000000"/>
                <w:sz w:val="22"/>
                <w:szCs w:val="22"/>
              </w:rPr>
              <w:t xml:space="preserve"> акционеров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36" w:name="В001_ФормТекст2"/>
            <w:r>
              <w:rPr>
                <w:color w:val="000000"/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36"/>
          </w:p>
          <w:p>
            <w:pPr>
              <w:pStyle w:val="NoSpacing"/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37" w:name="В001_ГолЗарегУчит"/>
            <w:r>
              <w:rPr>
                <w:color w:val="000000"/>
                <w:sz w:val="22"/>
                <w:szCs w:val="22"/>
              </w:rPr>
              <w:t>106 577</w:t>
            </w:r>
            <w:bookmarkEnd w:id="37"/>
            <w:r>
              <w:rPr>
                <w:color w:val="000000"/>
                <w:sz w:val="22"/>
                <w:szCs w:val="22"/>
              </w:rPr>
              <w:t>    (</w:t>
            </w:r>
            <w:bookmarkStart w:id="38" w:name="В001_ПроцГолЗарег"/>
            <w:r>
              <w:rPr>
                <w:color w:val="000000"/>
                <w:sz w:val="22"/>
                <w:szCs w:val="22"/>
              </w:rPr>
              <w:t>99.4931</w:t>
            </w:r>
            <w:bookmarkEnd w:id="38"/>
            <w:r>
              <w:rPr>
                <w:color w:val="000000"/>
                <w:sz w:val="22"/>
                <w:szCs w:val="22"/>
              </w:rPr>
              <w:t>    %)</w:t>
            </w:r>
          </w:p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39" w:name="В001_ГолЗарегУчит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39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соответствии со ст. 58 Федерального закона "Об акционерных обществах" кворум для принятия решения по данному вопросу      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40" w:name="В001_КворумТекстФ"/>
            <w:r>
              <w:rPr>
                <w:color w:val="000000"/>
                <w:sz w:val="22"/>
                <w:szCs w:val="22"/>
              </w:rPr>
              <w:t>Имеется</w:t>
            </w:r>
            <w:bookmarkEnd w:id="40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счетную комиссию поступило </w:t>
            </w:r>
            <w:bookmarkStart w:id="41" w:name="В001_БюлСданоУчит"/>
            <w:r>
              <w:rPr>
                <w:color w:val="000000"/>
                <w:sz w:val="22"/>
                <w:szCs w:val="22"/>
              </w:rPr>
              <w:t>6</w:t>
            </w:r>
            <w:bookmarkEnd w:id="41"/>
            <w:r>
              <w:rPr>
                <w:color w:val="000000"/>
                <w:sz w:val="22"/>
                <w:szCs w:val="22"/>
              </w:rPr>
              <w:t xml:space="preserve"> бюллетеней акционеров, обладающих в совокупности    голосами 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42" w:name="В001_ГолСданоУчит"/>
            <w:r>
              <w:rPr>
                <w:color w:val="000000"/>
                <w:sz w:val="22"/>
                <w:szCs w:val="22"/>
              </w:rPr>
              <w:t>106 577</w:t>
            </w:r>
            <w:bookmarkEnd w:id="42"/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43" w:name="В001_ГолСданоУчит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43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Из них признано недействительными </w:t>
            </w:r>
            <w:bookmarkStart w:id="44" w:name="В001_БюлНеДейст"/>
            <w:r>
              <w:rPr>
                <w:color w:val="000000"/>
                <w:sz w:val="22"/>
                <w:szCs w:val="22"/>
              </w:rPr>
              <w:t>0</w:t>
            </w:r>
            <w:bookmarkEnd w:id="44"/>
            <w:r>
              <w:rPr>
                <w:color w:val="000000"/>
                <w:sz w:val="22"/>
                <w:szCs w:val="22"/>
              </w:rPr>
              <w:t xml:space="preserve"> бюллетеней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</w:tr>
    </w:tbl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rmal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Формулировка решения, поставленного на голосование:</w:t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Акционерному обществу ВЦ «Инкомус» вступить в Ассоциацию платёжных агентов — операторов по приёму платежей ОГРН 1247700149608 ИНН 9704236270.</w:t>
      </w:r>
      <w:bookmarkStart w:id="45" w:name="В001_РешТекстФ"/>
      <w:bookmarkEnd w:id="45"/>
    </w:p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При подведении итогов по вопросу № 1    голоса распределились следующим образом</w:t>
      </w:r>
      <w:r>
        <w:rPr>
          <w:b/>
          <w:bCs/>
          <w:color w:val="000000"/>
          <w:sz w:val="22"/>
          <w:szCs w:val="22"/>
        </w:rPr>
        <w:t xml:space="preserve">:    </w:t>
      </w:r>
    </w:p>
    <w:tbl>
      <w:tblPr>
        <w:tblW w:w="9464" w:type="dxa"/>
        <w:jc w:val="start"/>
        <w:tblInd w:w="12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2376"/>
        <w:gridCol w:w="4533"/>
        <w:gridCol w:w="2555"/>
      </w:tblGrid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Вариант голосования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Количество голосов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%*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ЗА: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46" w:name="В001_ГолЗА"/>
            <w:r>
              <w:rPr>
                <w:color w:val="000000"/>
                <w:sz w:val="22"/>
                <w:szCs w:val="22"/>
              </w:rPr>
              <w:t>106 577</w:t>
            </w:r>
            <w:bookmarkEnd w:id="46"/>
            <w:r>
              <w:rPr>
                <w:color w:val="000000"/>
                <w:sz w:val="22"/>
                <w:szCs w:val="22"/>
              </w:rPr>
              <w:t>    (</w:t>
            </w:r>
            <w:bookmarkStart w:id="47" w:name="В001_ГолЗА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47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48" w:name="В001_ПроцГолЗА"/>
            <w:r>
              <w:rPr>
                <w:bCs/>
                <w:color w:val="000000"/>
                <w:sz w:val="22"/>
                <w:szCs w:val="22"/>
              </w:rPr>
              <w:t>100.0000</w:t>
            </w:r>
            <w:bookmarkEnd w:id="48"/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ПРОТИВ: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49" w:name="В001_ГолПР"/>
            <w:r>
              <w:rPr>
                <w:color w:val="000000"/>
                <w:sz w:val="22"/>
                <w:szCs w:val="22"/>
              </w:rPr>
              <w:t>0</w:t>
            </w:r>
            <w:bookmarkEnd w:id="49"/>
            <w:r>
              <w:rPr>
                <w:color w:val="000000"/>
                <w:sz w:val="22"/>
                <w:szCs w:val="22"/>
              </w:rPr>
              <w:t>    (</w:t>
            </w:r>
            <w:bookmarkStart w:id="50" w:name="В001_ГолПР_Пр"/>
            <w:r>
              <w:rPr>
                <w:color w:val="000000"/>
                <w:sz w:val="22"/>
                <w:szCs w:val="22"/>
              </w:rPr>
              <w:t>ноль</w:t>
            </w:r>
            <w:bookmarkEnd w:id="50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51" w:name="В001_ПроцГолПР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51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52" w:name="В001_ГолВЗ"/>
            <w:r>
              <w:rPr>
                <w:color w:val="000000"/>
                <w:sz w:val="22"/>
                <w:szCs w:val="22"/>
              </w:rPr>
              <w:t>0</w:t>
            </w:r>
            <w:bookmarkEnd w:id="52"/>
            <w:r>
              <w:rPr>
                <w:color w:val="000000"/>
                <w:sz w:val="22"/>
                <w:szCs w:val="22"/>
              </w:rPr>
              <w:t>    (</w:t>
            </w:r>
            <w:bookmarkStart w:id="53" w:name="В001_ГолВЗ_Пр"/>
            <w:r>
              <w:rPr>
                <w:color w:val="000000"/>
                <w:sz w:val="22"/>
                <w:szCs w:val="22"/>
              </w:rPr>
              <w:t>ноль</w:t>
            </w:r>
            <w:bookmarkEnd w:id="53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54" w:name="В001_ПроцГолВЗ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54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55" w:name="В001_ГолНД"/>
            <w:r>
              <w:rPr>
                <w:color w:val="000000"/>
                <w:sz w:val="22"/>
                <w:szCs w:val="22"/>
              </w:rPr>
              <w:t>0</w:t>
            </w:r>
            <w:bookmarkEnd w:id="55"/>
            <w:r>
              <w:rPr>
                <w:color w:val="000000"/>
                <w:sz w:val="22"/>
                <w:szCs w:val="22"/>
              </w:rPr>
              <w:t>    (</w:t>
            </w:r>
            <w:bookmarkStart w:id="56" w:name="В001_ГолНД_Пр"/>
            <w:r>
              <w:rPr>
                <w:color w:val="000000"/>
                <w:sz w:val="22"/>
                <w:szCs w:val="22"/>
              </w:rPr>
              <w:t>ноль</w:t>
            </w:r>
            <w:bookmarkEnd w:id="56"/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57" w:name="В001_ПроцГолНД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57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</w:tbl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*- Процент от числа голосов, которыми по данному вопросу обладали лица, принявшие участие в собрании</w:t>
      </w:r>
    </w:p>
    <w:p>
      <w:pPr>
        <w:pStyle w:val="NoSpacing"/>
        <w:bidi w:val="0"/>
        <w:ind w:hanging="0" w:start="0" w:end="0"/>
        <w:jc w:val="both"/>
        <w:rPr>
          <w:sz w:val="4"/>
          <w:szCs w:val="4"/>
        </w:rPr>
      </w:pPr>
      <w:r>
        <w:rPr>
          <w:sz w:val="4"/>
          <w:szCs w:val="4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Решение принято.</w:t>
      </w:r>
    </w:p>
    <w:p>
      <w:pPr>
        <w:pStyle w:val="NoSpacing"/>
        <w:bidi w:val="0"/>
        <w:ind w:hanging="0" w:start="0" w:end="0"/>
        <w:jc w:val="both"/>
        <w:rPr>
          <w:sz w:val="4"/>
          <w:szCs w:val="4"/>
        </w:rPr>
      </w:pPr>
      <w:r>
        <w:rPr>
          <w:sz w:val="4"/>
          <w:szCs w:val="4"/>
        </w:rPr>
      </w:r>
    </w:p>
    <w:p>
      <w:pPr>
        <w:pStyle w:val="Normal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Формулировка решения, принятого общим собранием:</w:t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Акционерному обществу ВЦ «Инкомус» вступить в Ассоциацию платёжных агентов — операторов по приёму платежей ОГРН 1247700149608 ИНН 9704236270.</w:t>
      </w:r>
      <w:bookmarkStart w:id="58" w:name="В001_РешТекстФ_Копия_1"/>
      <w:bookmarkEnd w:id="58"/>
    </w:p>
    <w:p>
      <w:pPr>
        <w:pStyle w:val="NoSpacing"/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 xml:space="preserve">Вопрос повестки дня № 2.    </w:t>
      </w:r>
      <w:bookmarkStart w:id="59" w:name="В002_Обрам_ВырезкаПодВопр"/>
      <w:bookmarkEnd w:id="59"/>
      <w:r>
        <w:rPr>
          <w:color w:val="000000"/>
          <w:sz w:val="22"/>
          <w:szCs w:val="22"/>
          <w:u w:val="single"/>
        </w:rPr>
        <w:t>Предоставление полномочий на представление интересов АО ВЦ «Инкомус» перед Ассоциацией генеральному директору общества.</w:t>
      </w:r>
    </w:p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  <w:u w:val="single"/>
        </w:rPr>
      </w:pPr>
      <w:r>
        <w:rPr>
          <w:color w:val="000000"/>
          <w:sz w:val="12"/>
          <w:szCs w:val="12"/>
          <w:u w:val="single"/>
        </w:rPr>
      </w:r>
    </w:p>
    <w:p>
      <w:pPr>
        <w:pStyle w:val="NoSpacing"/>
        <w:bidi w:val="0"/>
        <w:ind w:hanging="0" w:start="0" w:end="0"/>
        <w:jc w:val="both"/>
        <w:rPr/>
      </w:pPr>
      <w:bookmarkStart w:id="60" w:name="В002_ФормПравилоПринРеш"/>
      <w:r>
        <w:rPr>
          <w:color w:val="000000"/>
          <w:sz w:val="22"/>
          <w:szCs w:val="22"/>
        </w:rPr>
        <w:t>В соответствии с п.2 ст. 49 ФЗ «Об акционерных обществах»    решение по данному вопросу повестки дня принимается большинством голосов акционеров - владельцев голосующих акций, участвующих в заседании или заочном голосовании.</w:t>
      </w:r>
      <w:bookmarkEnd w:id="60"/>
    </w:p>
    <w:p>
      <w:pPr>
        <w:pStyle w:val="NoSpacing"/>
        <w:bidi w:val="0"/>
        <w:spacing w:before="120" w:after="0"/>
        <w:ind w:hanging="0" w:start="0" w:end="0"/>
        <w:jc w:val="both"/>
        <w:rPr/>
      </w:pPr>
      <w:bookmarkStart w:id="61" w:name="В002_ФормОгранич"/>
      <w:bookmarkEnd w:id="61"/>
      <w:r>
        <w:rPr>
          <w:color w:val="000000"/>
          <w:sz w:val="22"/>
          <w:szCs w:val="22"/>
        </w:rPr>
        <w:t>По данному вопросу повестки дня:</w:t>
      </w:r>
    </w:p>
    <w:tbl>
      <w:tblPr>
        <w:tblW w:w="9637" w:type="dxa"/>
        <w:jc w:val="start"/>
        <w:tblInd w:w="231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953"/>
        <w:gridCol w:w="3683"/>
      </w:tblGrid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62" w:name="В002_ФормТекст1"/>
            <w:r>
              <w:rPr>
                <w:color w:val="000000"/>
                <w:sz w:val="22"/>
                <w:szCs w:val="22"/>
              </w:rPr>
      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</w:t>
            </w:r>
            <w:bookmarkEnd w:id="62"/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63" w:name="В002_ГолВсегоСписок"/>
            <w:r>
              <w:rPr>
                <w:color w:val="000000"/>
                <w:sz w:val="22"/>
                <w:szCs w:val="22"/>
              </w:rPr>
              <w:t>107 120</w:t>
            </w:r>
            <w:bookmarkEnd w:id="63"/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64" w:name="В002_ГолВсегоСписок_Пр"/>
            <w:r>
              <w:rPr>
                <w:color w:val="000000"/>
                <w:sz w:val="22"/>
                <w:szCs w:val="22"/>
              </w:rPr>
              <w:t>сто семь тысяч сто двадцать</w:t>
            </w:r>
            <w:bookmarkEnd w:id="64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Число голосов, приходившихся на голосующие акции общества по каждому вопросу повестки дня общего собрания, определенное с учетом положений п.4.24. Положения об общих собраниях акционеров, утвержденного Банком России 16.11.2018 № 660-П.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65" w:name="В002_ГолВсегоКворум"/>
            <w:r>
              <w:rPr>
                <w:color w:val="000000"/>
                <w:sz w:val="22"/>
                <w:szCs w:val="22"/>
              </w:rPr>
              <w:t>107 120</w:t>
            </w:r>
            <w:bookmarkEnd w:id="65"/>
            <w:r>
              <w:rPr>
                <w:color w:val="000000"/>
                <w:sz w:val="22"/>
                <w:szCs w:val="22"/>
              </w:rPr>
              <w:t xml:space="preserve"> (100%)</w:t>
            </w:r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66" w:name="В002_ГолВсегоКворум_Пр"/>
            <w:r>
              <w:rPr>
                <w:color w:val="000000"/>
                <w:sz w:val="22"/>
                <w:szCs w:val="22"/>
              </w:rPr>
              <w:t>сто семь тысяч сто двадцать</w:t>
            </w:r>
            <w:bookmarkEnd w:id="66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заседании или заочном голосовании приняли участие    </w:t>
            </w:r>
            <w:bookmarkStart w:id="67" w:name="В002_ЗЛЗарегУчит"/>
            <w:r>
              <w:rPr>
                <w:color w:val="000000"/>
                <w:sz w:val="22"/>
                <w:szCs w:val="22"/>
              </w:rPr>
              <w:t>6</w:t>
            </w:r>
            <w:bookmarkEnd w:id="67"/>
            <w:r>
              <w:rPr>
                <w:color w:val="000000"/>
                <w:sz w:val="22"/>
                <w:szCs w:val="22"/>
              </w:rPr>
              <w:t xml:space="preserve"> акционеров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68" w:name="В002_ФормТекст2"/>
            <w:r>
              <w:rPr>
                <w:color w:val="000000"/>
                <w:sz w:val="22"/>
                <w:szCs w:val="22"/>
              </w:rPr>
              <w:t>Число голосов, которыми обладали лица, принявшие участие в собрании по данному вопросу</w:t>
            </w:r>
            <w:bookmarkEnd w:id="68"/>
          </w:p>
          <w:p>
            <w:pPr>
              <w:pStyle w:val="NoSpacing"/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69" w:name="В002_ГолЗарегУчит"/>
            <w:r>
              <w:rPr>
                <w:color w:val="000000"/>
                <w:sz w:val="22"/>
                <w:szCs w:val="22"/>
              </w:rPr>
              <w:t>106 577</w:t>
            </w:r>
            <w:bookmarkEnd w:id="69"/>
            <w:r>
              <w:rPr>
                <w:color w:val="000000"/>
                <w:sz w:val="22"/>
                <w:szCs w:val="22"/>
              </w:rPr>
              <w:t>    (</w:t>
            </w:r>
            <w:bookmarkStart w:id="70" w:name="В002_ПроцГолЗарег"/>
            <w:r>
              <w:rPr>
                <w:color w:val="000000"/>
                <w:sz w:val="22"/>
                <w:szCs w:val="22"/>
              </w:rPr>
              <w:t>99.4931</w:t>
            </w:r>
            <w:bookmarkEnd w:id="70"/>
            <w:r>
              <w:rPr>
                <w:color w:val="000000"/>
                <w:sz w:val="22"/>
                <w:szCs w:val="22"/>
              </w:rPr>
              <w:t>    %)</w:t>
            </w:r>
          </w:p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71" w:name="В002_ГолЗарегУчит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71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соответствии со ст. 58 Федерального закона "Об акционерных обществах" кворум для принятия решения по данному вопросу      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72" w:name="В002_КворумТекстФ"/>
            <w:r>
              <w:rPr>
                <w:color w:val="000000"/>
                <w:sz w:val="22"/>
                <w:szCs w:val="22"/>
              </w:rPr>
              <w:t>Имеется</w:t>
            </w:r>
            <w:bookmarkEnd w:id="72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В счетную комиссию поступило </w:t>
            </w:r>
            <w:bookmarkStart w:id="73" w:name="В002_БюлСданоУчит"/>
            <w:r>
              <w:rPr>
                <w:color w:val="000000"/>
                <w:sz w:val="22"/>
                <w:szCs w:val="22"/>
              </w:rPr>
              <w:t>6</w:t>
            </w:r>
            <w:bookmarkEnd w:id="73"/>
            <w:r>
              <w:rPr>
                <w:color w:val="000000"/>
                <w:sz w:val="22"/>
                <w:szCs w:val="22"/>
              </w:rPr>
              <w:t xml:space="preserve"> бюллетеней акционеров, обладающих в совокупности    голосами 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74" w:name="В002_ГолСданоУчит"/>
            <w:r>
              <w:rPr>
                <w:color w:val="000000"/>
                <w:sz w:val="22"/>
                <w:szCs w:val="22"/>
              </w:rPr>
              <w:t>106 577</w:t>
            </w:r>
            <w:bookmarkEnd w:id="74"/>
          </w:p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75" w:name="В002_ГолСданоУчит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75"/>
          </w:p>
        </w:tc>
      </w:tr>
      <w:tr>
        <w:trPr/>
        <w:tc>
          <w:tcPr>
            <w:tcW w:w="595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 xml:space="preserve">Из них признано недействительными </w:t>
            </w:r>
            <w:bookmarkStart w:id="76" w:name="В002_БюлНеДейст"/>
            <w:r>
              <w:rPr>
                <w:color w:val="000000"/>
                <w:sz w:val="22"/>
                <w:szCs w:val="22"/>
              </w:rPr>
              <w:t>0</w:t>
            </w:r>
            <w:bookmarkEnd w:id="76"/>
            <w:r>
              <w:rPr>
                <w:color w:val="000000"/>
                <w:sz w:val="22"/>
                <w:szCs w:val="22"/>
              </w:rPr>
              <w:t xml:space="preserve"> бюллетеней</w:t>
            </w:r>
          </w:p>
        </w:tc>
        <w:tc>
          <w:tcPr>
            <w:tcW w:w="368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</w:tr>
    </w:tbl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rmal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Формулировка решения, поставленного на голосование:</w:t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Предоставить полномочия на представление интересов АО ВЦ «Инкомус» перед Ассоциацией генеральному директору общества.</w:t>
      </w:r>
      <w:bookmarkStart w:id="77" w:name="В002_РешТекстФ"/>
      <w:bookmarkEnd w:id="77"/>
    </w:p>
    <w:p>
      <w:pPr>
        <w:pStyle w:val="NoSpacing"/>
        <w:bidi w:val="0"/>
        <w:ind w:hanging="0" w:start="0" w:end="0"/>
        <w:jc w:val="both"/>
        <w:rPr>
          <w:color w:val="000000"/>
          <w:sz w:val="12"/>
          <w:szCs w:val="12"/>
        </w:rPr>
      </w:pPr>
      <w:r>
        <w:rPr>
          <w:color w:val="000000"/>
          <w:sz w:val="12"/>
          <w:szCs w:val="12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При подведении итогов по вопросу № 2    голоса распределились следующим образом</w:t>
      </w:r>
      <w:r>
        <w:rPr>
          <w:b/>
          <w:bCs/>
          <w:color w:val="000000"/>
          <w:sz w:val="22"/>
          <w:szCs w:val="22"/>
        </w:rPr>
        <w:t xml:space="preserve">:    </w:t>
      </w:r>
    </w:p>
    <w:tbl>
      <w:tblPr>
        <w:tblW w:w="9464" w:type="dxa"/>
        <w:jc w:val="start"/>
        <w:tblInd w:w="12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2376"/>
        <w:gridCol w:w="4533"/>
        <w:gridCol w:w="2555"/>
      </w:tblGrid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Вариант голосования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color w:val="000000"/>
                <w:sz w:val="22"/>
                <w:szCs w:val="22"/>
              </w:rPr>
              <w:t>Количество голосов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%*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ЗА: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78" w:name="В002_ГолЗА"/>
            <w:r>
              <w:rPr>
                <w:color w:val="000000"/>
                <w:sz w:val="22"/>
                <w:szCs w:val="22"/>
              </w:rPr>
              <w:t>106 577</w:t>
            </w:r>
            <w:bookmarkEnd w:id="78"/>
            <w:r>
              <w:rPr>
                <w:color w:val="000000"/>
                <w:sz w:val="22"/>
                <w:szCs w:val="22"/>
              </w:rPr>
              <w:t>    (</w:t>
            </w:r>
            <w:bookmarkStart w:id="79" w:name="В002_ГолЗА_Пр"/>
            <w:r>
              <w:rPr>
                <w:color w:val="000000"/>
                <w:sz w:val="22"/>
                <w:szCs w:val="22"/>
              </w:rPr>
              <w:t>сто шесть тысяч пятьсот семьдесят семь</w:t>
            </w:r>
            <w:bookmarkEnd w:id="79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tabs>
                <w:tab w:val="clear" w:pos="708"/>
              </w:tabs>
              <w:bidi w:val="0"/>
              <w:ind w:hanging="0" w:start="0" w:end="0"/>
              <w:jc w:val="both"/>
              <w:rPr/>
            </w:pPr>
            <w:bookmarkStart w:id="80" w:name="В002_ПроцГолЗА"/>
            <w:r>
              <w:rPr>
                <w:bCs/>
                <w:color w:val="000000"/>
                <w:sz w:val="22"/>
                <w:szCs w:val="22"/>
              </w:rPr>
              <w:t>100.0000</w:t>
            </w:r>
            <w:bookmarkEnd w:id="80"/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ПРОТИВ: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1" w:name="В002_ГолПР"/>
            <w:r>
              <w:rPr>
                <w:color w:val="000000"/>
                <w:sz w:val="22"/>
                <w:szCs w:val="22"/>
              </w:rPr>
              <w:t>0</w:t>
            </w:r>
            <w:bookmarkEnd w:id="81"/>
            <w:r>
              <w:rPr>
                <w:color w:val="000000"/>
                <w:sz w:val="22"/>
                <w:szCs w:val="22"/>
              </w:rPr>
              <w:t>    (</w:t>
            </w:r>
            <w:bookmarkStart w:id="82" w:name="В002_ГолПР_Пр"/>
            <w:r>
              <w:rPr>
                <w:color w:val="000000"/>
                <w:sz w:val="22"/>
                <w:szCs w:val="22"/>
              </w:rPr>
              <w:t>ноль</w:t>
            </w:r>
            <w:bookmarkEnd w:id="82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3" w:name="В002_ПроцГолПР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83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 xml:space="preserve">ВОЗДЕРЖАЛСЯ: 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4" w:name="В002_ГолВЗ"/>
            <w:r>
              <w:rPr>
                <w:color w:val="000000"/>
                <w:sz w:val="22"/>
                <w:szCs w:val="22"/>
              </w:rPr>
              <w:t>0</w:t>
            </w:r>
            <w:bookmarkEnd w:id="84"/>
            <w:r>
              <w:rPr>
                <w:color w:val="000000"/>
                <w:sz w:val="22"/>
                <w:szCs w:val="22"/>
              </w:rPr>
              <w:t>    (</w:t>
            </w:r>
            <w:bookmarkStart w:id="85" w:name="В002_ГолВЗ_Пр"/>
            <w:r>
              <w:rPr>
                <w:color w:val="000000"/>
                <w:sz w:val="22"/>
                <w:szCs w:val="22"/>
              </w:rPr>
              <w:t>ноль</w:t>
            </w:r>
            <w:bookmarkEnd w:id="85"/>
            <w:r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6" w:name="В002_ПроцГолВЗ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86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  <w:tr>
        <w:trPr/>
        <w:tc>
          <w:tcPr>
            <w:tcW w:w="23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r>
              <w:rPr>
                <w:bCs/>
                <w:color w:val="000000"/>
                <w:sz w:val="22"/>
                <w:szCs w:val="22"/>
              </w:rPr>
              <w:t>Не подсчитывалось в связи с признанием бюллетеней недействительными</w:t>
            </w:r>
          </w:p>
        </w:tc>
        <w:tc>
          <w:tcPr>
            <w:tcW w:w="4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7" w:name="В002_ГолНД"/>
            <w:r>
              <w:rPr>
                <w:color w:val="000000"/>
                <w:sz w:val="22"/>
                <w:szCs w:val="22"/>
              </w:rPr>
              <w:t>0</w:t>
            </w:r>
            <w:bookmarkEnd w:id="87"/>
            <w:r>
              <w:rPr>
                <w:color w:val="000000"/>
                <w:sz w:val="22"/>
                <w:szCs w:val="22"/>
              </w:rPr>
              <w:t>    (</w:t>
            </w:r>
            <w:bookmarkStart w:id="88" w:name="В002_ГолНД_Пр"/>
            <w:r>
              <w:rPr>
                <w:color w:val="000000"/>
                <w:sz w:val="22"/>
                <w:szCs w:val="22"/>
              </w:rPr>
              <w:t>ноль</w:t>
            </w:r>
            <w:bookmarkEnd w:id="88"/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55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Spacing"/>
              <w:bidi w:val="0"/>
              <w:ind w:hanging="0" w:start="0" w:end="0"/>
              <w:jc w:val="both"/>
              <w:rPr/>
            </w:pPr>
            <w:bookmarkStart w:id="89" w:name="В002_ПроцГолНД"/>
            <w:r>
              <w:rPr>
                <w:bCs/>
                <w:color w:val="000000"/>
                <w:sz w:val="22"/>
                <w:szCs w:val="22"/>
              </w:rPr>
              <w:t>0.0000</w:t>
            </w:r>
            <w:bookmarkEnd w:id="89"/>
            <w:r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</w:tr>
    </w:tbl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*- Процент от числа голосов, которыми по данному вопросу обладали лица, принявшие участие в собрании</w:t>
      </w:r>
    </w:p>
    <w:p>
      <w:pPr>
        <w:pStyle w:val="NoSpacing"/>
        <w:bidi w:val="0"/>
        <w:ind w:hanging="0" w:start="0" w:end="0"/>
        <w:jc w:val="both"/>
        <w:rPr>
          <w:sz w:val="4"/>
          <w:szCs w:val="4"/>
        </w:rPr>
      </w:pPr>
      <w:r>
        <w:rPr>
          <w:sz w:val="4"/>
          <w:szCs w:val="4"/>
        </w:rPr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Решение принято.</w:t>
      </w:r>
    </w:p>
    <w:p>
      <w:pPr>
        <w:pStyle w:val="NoSpacing"/>
        <w:bidi w:val="0"/>
        <w:ind w:hanging="0" w:start="0" w:end="0"/>
        <w:jc w:val="both"/>
        <w:rPr>
          <w:sz w:val="4"/>
          <w:szCs w:val="4"/>
        </w:rPr>
      </w:pPr>
      <w:r>
        <w:rPr>
          <w:sz w:val="4"/>
          <w:szCs w:val="4"/>
        </w:rPr>
      </w:r>
    </w:p>
    <w:p>
      <w:pPr>
        <w:pStyle w:val="Normal"/>
        <w:bidi w:val="0"/>
        <w:ind w:hanging="0" w:start="0" w:end="0"/>
        <w:jc w:val="both"/>
        <w:rPr/>
      </w:pPr>
      <w:r>
        <w:rPr>
          <w:color w:val="000000"/>
          <w:sz w:val="22"/>
          <w:szCs w:val="22"/>
          <w:u w:val="single"/>
        </w:rPr>
        <w:t>Формулировка решения, принятого общим собранием:</w:t>
      </w:r>
    </w:p>
    <w:p>
      <w:pPr>
        <w:pStyle w:val="NoSpacing"/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Предоставить полномочия на представление интересов АО ВЦ «Инкомус» перед Ассоциацией генеральному директору общества.</w:t>
      </w:r>
      <w:bookmarkStart w:id="90" w:name="В002_РешТекстФ_Копия_1"/>
      <w:bookmarkEnd w:id="90"/>
    </w:p>
    <w:p>
      <w:pPr>
        <w:pStyle w:val="NoSpacing"/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1"/>
        <w:jc w:val="both"/>
        <w:rPr/>
      </w:pPr>
      <w:r>
        <w:rPr>
          <w:color w:val="000000"/>
          <w:sz w:val="22"/>
          <w:szCs w:val="22"/>
        </w:rPr>
        <w:t>Итоги голосования оглашены на заседании общего собрания акционеров.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Настоящий протокол составлен в трех экземплярах.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Дата составления протокола счетной комиссии: «28» октября 2025г.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/>
      </w:pPr>
      <w:r>
        <w:rPr>
          <w:color w:val="000000"/>
          <w:sz w:val="22"/>
          <w:szCs w:val="22"/>
        </w:rPr>
        <w:t>Лицо, выполнявшее функции счетной комиссии: Акционерное общество «Регистратор Интрако».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Место нахождения, адрес регистратора: Российская Федерация,    г. Пермь, ул. Ленина, 64 офис 209.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Лица, уполномоченные регистратором Каргаполова Елена Вениаминовна, Шабалина Ирина Вениаминовна.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Standard"/>
        <w:bidi w:val="0"/>
        <w:spacing w:lineRule="auto" w:line="360"/>
        <w:ind w:hanging="0" w:start="0" w:end="0"/>
        <w:jc w:val="both"/>
        <w:rPr/>
      </w:pPr>
      <w:r>
        <w:rPr>
          <w:szCs w:val="24"/>
        </w:rPr>
        <w:t>Председатель собрания                                                                                            ___________________М.В. Петилимова</w:t>
      </w:r>
    </w:p>
    <w:p>
      <w:pPr>
        <w:pStyle w:val="Standard"/>
        <w:bidi w:val="0"/>
        <w:spacing w:lineRule="auto" w:line="360"/>
        <w:ind w:firstLine="540" w:start="0" w:end="0"/>
        <w:jc w:val="both"/>
        <w:rPr/>
      </w:pPr>
      <w:r>
        <w:rPr/>
      </w:r>
    </w:p>
    <w:p>
      <w:pPr>
        <w:pStyle w:val="Normal"/>
        <w:bidi w:val="0"/>
        <w:ind w:hanging="0" w:start="0" w:end="0"/>
        <w:rPr>
          <w:szCs w:val="24"/>
        </w:rPr>
      </w:pPr>
      <w:r>
        <w:rPr>
          <w:szCs w:val="24"/>
        </w:rPr>
        <w:t>Секретарь собрания                                                                                                     __________________ Л.М. Тимофеева</w:t>
      </w:r>
    </w:p>
    <w:p>
      <w:pPr>
        <w:pStyle w:val="Normal"/>
        <w:tabs>
          <w:tab w:val="clear" w:pos="708"/>
          <w:tab w:val="left" w:pos="397" w:leader="none"/>
          <w:tab w:val="left" w:pos="737" w:leader="none"/>
        </w:tabs>
        <w:bidi w:val="0"/>
        <w:ind w:hanging="0" w:start="0" w:end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851" w:gutter="0" w:header="0" w:top="1134" w:footer="1134" w:bottom="1648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Calibri Light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Arial">
    <w:charset w:val="01" w:characterSet="utf-8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widowControl/>
      <w:suppressAutoHyphens w:val="true"/>
      <w:bidi w:val="0"/>
      <w:jc w:val="start"/>
      <w:textAlignment w:val="auto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ind w:hanging="0" w:start="0" w:end="0"/>
      <w:jc w:val="end"/>
      <w:rPr>
        <w:rFonts w:ascii="Times New Roman" w:hAnsi="Times New Roman"/>
      </w:rPr>
    </w:pPr>
    <w:bookmarkStart w:id="91" w:name="PageNumWizard_FOOTER_Базовый3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bookmarkEnd w:id="91"/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ind w:hanging="0" w:start="0" w:end="0"/>
      <w:jc w:val="end"/>
      <w:rPr>
        <w:rFonts w:ascii="Times New Roman" w:hAnsi="Times New Roman"/>
      </w:rPr>
    </w:pPr>
    <w:bookmarkStart w:id="92" w:name="PageNumWizard_FOOTER_Базовый3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bookmarkEnd w:id="92"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Liberation Serif" w:hAnsi="Liberation Serif" w:cs="Liberation Serif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Liberation Serif" w:hAnsi="Liberation Serif" w:cs="Liberation Serif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Liberation Serif" w:hAnsi="Liberation Serif" w:cs="Liberation Serif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Liberation Serif" w:hAnsi="Liberation Serif" w:cs="Liberation Serif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Liberation Serif" w:hAnsi="Liberation Serif" w:cs="Liberation Serif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Liberation Serif" w:hAnsi="Liberation Serif" w:cs="Liberation Serif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WenQuanYi Micro Hei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star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Heading2">
    <w:name w:val="Heading 2"/>
    <w:basedOn w:val="Normal"/>
    <w:next w:val="Normal"/>
    <w:qFormat/>
    <w:pPr>
      <w:keepNext w:val="true"/>
      <w:widowControl/>
      <w:suppressAutoHyphens w:val="true"/>
      <w:jc w:val="both"/>
      <w:textAlignment w:val="auto"/>
      <w:outlineLvl w:val="1"/>
    </w:pPr>
    <w:rPr>
      <w:rFonts w:cs="Times New Roman"/>
      <w:b/>
      <w:bCs/>
      <w:kern w:val="2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Heading2Char">
    <w:name w:val="Heading 2 Char"/>
    <w:basedOn w:val="DefaultParagraphFont"/>
    <w:qFormat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c7e0e3eeebeee2eeea2c7ede0ea">
    <w:name w:val="Зc7аe0гe3оeeлebоeeвe2оeeкea 2 Зc7нedаe0кea"/>
    <w:qFormat/>
    <w:rPr>
      <w:rFonts w:ascii="Times New Roman" w:hAnsi="Times New Roman"/>
      <w:b/>
      <w:sz w:val="22"/>
    </w:rPr>
  </w:style>
  <w:style w:type="character" w:styleId="cef1edeee2edeee9f2e5eaf1f23c7ede0ea">
    <w:name w:val="Оceсf1нedоeeвe2нedоeeйe9 тf2еe5кeaсf1тf2 3 Зc7нedаe0кea"/>
    <w:qFormat/>
    <w:rPr>
      <w:rFonts w:ascii="Times New Roman" w:hAnsi="Times New Roman"/>
      <w:b/>
    </w:rPr>
  </w:style>
  <w:style w:type="character" w:styleId="cde0e7e2e0ede8e5c7ede0ea">
    <w:name w:val="Нcdаe0зe7вe2аe0нedиe8еe5 Зc7нedаe0кea"/>
    <w:qFormat/>
    <w:rPr>
      <w:rFonts w:ascii="Times New Roman" w:hAnsi="Times New Roman"/>
      <w:b/>
    </w:rPr>
  </w:style>
  <w:style w:type="character" w:styleId="cef1edeee2edeee9f2e5eaf1f2c7ede0ea">
    <w:name w:val="Оceсf1нedоeeвe2нedоeeйe9 тf2еe5кeaсf1тf2 Зc7нedаe0кea"/>
    <w:qFormat/>
    <w:rPr>
      <w:rFonts w:ascii="Times New Roman" w:hAnsi="Times New Roman"/>
    </w:rPr>
  </w:style>
  <w:style w:type="character" w:styleId="cef1edeee2edeee9f2e5eaf1f22c7ede0ea">
    <w:name w:val="Оceсf1нedоeeвe2нedоeeйe9 тf2еe5кeaсf1тf2 2 Зc7нedаe0кea"/>
    <w:qFormat/>
    <w:rPr>
      <w:rFonts w:ascii="Times New Roman" w:hAnsi="Times New Roman"/>
    </w:rPr>
  </w:style>
  <w:style w:type="character" w:styleId="cef1edeee2edeee9f2e5eaf1f2f1eef2f1f2f3efeeecc7ede0ea">
    <w:name w:val="Оceсf1нedоeeвe2нedоeeйe9 тf2еe5кeaсf1тf2 сf1 оeeтf2сf1тf2уf3пefоeeмec Зc7нedаe0кea"/>
    <w:qFormat/>
    <w:rPr>
      <w:rFonts w:ascii="Times New Roman" w:hAnsi="Times New Roman"/>
    </w:rPr>
  </w:style>
  <w:style w:type="character" w:styleId="BodyTextChar">
    <w:name w:val="Body Text Char"/>
    <w:basedOn w:val="DefaultParagraphFont"/>
    <w:qFormat/>
    <w:rPr>
      <w:rFonts w:ascii="Times New Roman" w:hAnsi="Times New Roman"/>
    </w:rPr>
  </w:style>
  <w:style w:type="character" w:styleId="BodyText3Char">
    <w:name w:val="Body Text 3 Char"/>
    <w:basedOn w:val="DefaultParagraphFont"/>
    <w:qFormat/>
    <w:rPr>
      <w:rFonts w:ascii="Times New Roman" w:hAnsi="Times New Roman"/>
      <w:sz w:val="16"/>
      <w:szCs w:val="16"/>
    </w:rPr>
  </w:style>
  <w:style w:type="character" w:styleId="TitleChar">
    <w:name w:val="Title Char"/>
    <w:basedOn w:val="DefaultParagraphFont"/>
    <w:qFormat/>
    <w:rPr>
      <w:rFonts w:ascii="Calibri Light" w:hAnsi="Calibri Light" w:eastAsia="Times New Roman"/>
      <w:b/>
      <w:bCs/>
      <w:kern w:val="2"/>
      <w:sz w:val="32"/>
      <w:szCs w:val="32"/>
    </w:rPr>
  </w:style>
  <w:style w:type="character" w:styleId="BodyText2Char">
    <w:name w:val="Body Text 2 Char"/>
    <w:basedOn w:val="DefaultParagraphFont"/>
    <w:qFormat/>
    <w:rPr>
      <w:rFonts w:ascii="Times New Roman" w:hAnsi="Times New Roman"/>
    </w:rPr>
  </w:style>
  <w:style w:type="character" w:styleId="BodyTextIndentChar">
    <w:name w:val="Body Text Indent Char"/>
    <w:basedOn w:val="DefaultParagraphFont"/>
    <w:qFormat/>
    <w:rPr>
      <w:rFonts w:ascii="Times New Roman" w:hAnsi="Times New Roman"/>
    </w:rPr>
  </w:style>
  <w:style w:type="character" w:styleId="FooterChar">
    <w:name w:val="Footer Char"/>
    <w:basedOn w:val="DefaultParagraphFont"/>
    <w:qFormat/>
    <w:rPr>
      <w:rFonts w:ascii="Times New Roman" w:hAnsi="Times New Roman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WenQuanYi Micro Hei" w:cs="Noto Sans Devanagari"/>
      <w:sz w:val="28"/>
      <w:szCs w:val="28"/>
    </w:rPr>
  </w:style>
  <w:style w:type="paragraph" w:styleId="BodyText">
    <w:name w:val="Body Text"/>
    <w:basedOn w:val="Normal"/>
    <w:pPr>
      <w:widowControl/>
      <w:suppressAutoHyphens w:val="true"/>
      <w:spacing w:before="0" w:after="120"/>
      <w:jc w:val="start"/>
      <w:textAlignment w:val="auto"/>
    </w:pPr>
    <w:rPr>
      <w:rFonts w:cs="Times New Roman"/>
      <w:kern w:val="2"/>
      <w:sz w:val="20"/>
      <w:szCs w:val="20"/>
      <w:lang w:val="ru-RU" w:eastAsia="ru-RU" w:bidi="ar-SA"/>
    </w:rPr>
  </w:style>
  <w:style w:type="paragraph" w:styleId="List">
    <w:name w:val="List"/>
    <w:basedOn w:val="BodyText"/>
    <w:pPr>
      <w:widowControl/>
      <w:suppressAutoHyphens w:val="true"/>
      <w:spacing w:before="0" w:after="120"/>
      <w:jc w:val="start"/>
      <w:textAlignment w:val="auto"/>
    </w:pPr>
    <w:rPr>
      <w:rFonts w:cs="Arial"/>
      <w:kern w:val="2"/>
      <w:sz w:val="20"/>
      <w:szCs w:val="20"/>
      <w:lang w:val="ru-RU" w:eastAsia="ru-RU" w:bidi="ar-SA"/>
    </w:rPr>
  </w:style>
  <w:style w:type="paragraph" w:styleId="Caption">
    <w:name w:val="Caption"/>
    <w:basedOn w:val="Normal"/>
    <w:qFormat/>
    <w:pPr>
      <w:widowControl/>
      <w:suppressAutoHyphens w:val="true"/>
      <w:spacing w:before="120" w:after="120"/>
      <w:jc w:val="start"/>
      <w:textAlignment w:val="auto"/>
    </w:pPr>
    <w:rPr>
      <w:rFonts w:cs="Arial"/>
      <w:i/>
      <w:iCs/>
      <w:kern w:val="2"/>
      <w:sz w:val="24"/>
      <w:szCs w:val="24"/>
      <w:lang w:val="ru-RU" w:eastAsia="ru-RU" w:bidi="ar-SA"/>
    </w:rPr>
  </w:style>
  <w:style w:type="paragraph" w:styleId="Style14">
    <w:name w:val="Указатель"/>
    <w:basedOn w:val="Normal"/>
    <w:qFormat/>
    <w:pPr>
      <w:suppressLineNumbers/>
    </w:pPr>
    <w:rPr>
      <w:rFonts w:cs="Noto Sans Devanagari"/>
    </w:rPr>
  </w:style>
  <w:style w:type="paragraph" w:styleId="NormalTable">
    <w:name w:val="Normal Table"/>
    <w:qFormat/>
    <w:pPr>
      <w:widowControl/>
      <w:bidi w:val="0"/>
      <w:spacing w:lineRule="auto" w:line="276" w:before="0" w:after="160"/>
      <w:jc w:val="start"/>
      <w:textAlignment w:val="auto"/>
    </w:pPr>
    <w:rPr>
      <w:rFonts w:ascii="Calibri" w:hAnsi="Calibri" w:eastAsia="Times New Roman" w:cs="Times New Roman"/>
      <w:color w:val="auto"/>
      <w:kern w:val="2"/>
      <w:sz w:val="24"/>
      <w:szCs w:val="24"/>
      <w:lang w:val="ru-RU" w:eastAsia="ru-RU" w:bidi="ar-SA"/>
    </w:rPr>
  </w:style>
  <w:style w:type="paragraph" w:styleId="c7e0e3eeebeee2eeea">
    <w:name w:val="Зc7аe0гe3оeeлebоeeвe2оeeкea"/>
    <w:basedOn w:val="Normal"/>
    <w:qFormat/>
    <w:pPr>
      <w:keepNext w:val="true"/>
      <w:widowControl/>
      <w:suppressAutoHyphens w:val="true"/>
      <w:spacing w:before="240" w:after="120"/>
      <w:jc w:val="start"/>
      <w:textAlignment w:val="auto"/>
    </w:pPr>
    <w:rPr>
      <w:rFonts w:ascii="Liberation Sans" w:hAnsi="Liberation Sans" w:eastAsia="Microsoft YaHei" w:cs="Arial"/>
      <w:kern w:val="2"/>
      <w:sz w:val="28"/>
      <w:szCs w:val="28"/>
      <w:lang w:val="ru-RU" w:eastAsia="ru-RU" w:bidi="ar-SA"/>
    </w:rPr>
  </w:style>
  <w:style w:type="paragraph" w:styleId="d3eae0e7e0f2e5ebfc">
    <w:name w:val="Уd3кeaаe0зe7аe0тf2еe5лebьfc"/>
    <w:basedOn w:val="Normal"/>
    <w:qFormat/>
    <w:pPr>
      <w:widowControl/>
      <w:suppressAutoHyphens w:val="true"/>
      <w:jc w:val="start"/>
      <w:textAlignment w:val="auto"/>
    </w:pPr>
    <w:rPr>
      <w:rFonts w:cs="Arial"/>
      <w:kern w:val="2"/>
      <w:sz w:val="20"/>
      <w:szCs w:val="20"/>
      <w:lang w:val="ru-RU" w:eastAsia="ru-RU" w:bidi="ar-SA"/>
    </w:rPr>
  </w:style>
  <w:style w:type="paragraph" w:styleId="BodyText3">
    <w:name w:val="Body Text 3"/>
    <w:basedOn w:val="Normal"/>
    <w:qFormat/>
    <w:pPr>
      <w:widowControl/>
      <w:suppressAutoHyphens w:val="true"/>
      <w:jc w:val="both"/>
      <w:textAlignment w:val="auto"/>
    </w:pPr>
    <w:rPr>
      <w:rFonts w:cs="Times New Roman"/>
      <w:b/>
      <w:bCs/>
      <w:kern w:val="2"/>
      <w:sz w:val="24"/>
      <w:szCs w:val="24"/>
      <w:lang w:val="ru-RU" w:eastAsia="ru-RU" w:bidi="ar-SA"/>
    </w:rPr>
  </w:style>
  <w:style w:type="paragraph" w:styleId="Title">
    <w:name w:val="Title"/>
    <w:basedOn w:val="Normal"/>
    <w:qFormat/>
    <w:pPr>
      <w:widowControl/>
      <w:suppressAutoHyphens w:val="true"/>
      <w:jc w:val="center"/>
      <w:textAlignment w:val="auto"/>
    </w:pPr>
    <w:rPr>
      <w:rFonts w:cs="Times New Roman"/>
      <w:b/>
      <w:bCs/>
      <w:kern w:val="2"/>
      <w:sz w:val="24"/>
      <w:szCs w:val="24"/>
      <w:lang w:val="ru-RU" w:eastAsia="ru-RU" w:bidi="ar-SA"/>
    </w:rPr>
  </w:style>
  <w:style w:type="paragraph" w:styleId="CM5">
    <w:name w:val="CM5"/>
    <w:basedOn w:val="Normal"/>
    <w:next w:val="Normal"/>
    <w:qFormat/>
    <w:pPr>
      <w:widowControl w:val="false"/>
      <w:suppressAutoHyphens w:val="true"/>
      <w:spacing w:before="0" w:after="195"/>
      <w:jc w:val="start"/>
      <w:textAlignment w:val="auto"/>
    </w:pPr>
    <w:rPr>
      <w:rFonts w:ascii="Arial" w:hAnsi="Arial" w:cs="Arial"/>
      <w:kern w:val="2"/>
      <w:sz w:val="24"/>
      <w:szCs w:val="24"/>
      <w:lang w:val="ru-RU" w:eastAsia="ru-RU" w:bidi="ar-SA"/>
    </w:rPr>
  </w:style>
  <w:style w:type="paragraph" w:styleId="NoSpacing">
    <w:name w:val="No Spacing"/>
    <w:qFormat/>
    <w:pPr>
      <w:widowControl/>
      <w:suppressAutoHyphens w:val="true"/>
      <w:bidi w:val="0"/>
      <w:jc w:val="star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cef1edeee2ed">
    <w:name w:val="Оceсf1нedоeeвe2нed"/>
    <w:basedOn w:val="Normal"/>
    <w:next w:val="Normal"/>
    <w:qFormat/>
    <w:pPr>
      <w:widowControl/>
      <w:tabs>
        <w:tab w:val="clear" w:pos="708"/>
        <w:tab w:val="left" w:pos="397" w:leader="none"/>
        <w:tab w:val="left" w:pos="737" w:leader="none"/>
      </w:tabs>
      <w:suppressAutoHyphens w:val="true"/>
      <w:spacing w:lineRule="atLeast" w:line="200"/>
      <w:ind w:firstLine="340"/>
      <w:jc w:val="both"/>
      <w:textAlignment w:val="auto"/>
    </w:pPr>
    <w:rPr>
      <w:rFonts w:cs="Times New Roman"/>
      <w:kern w:val="2"/>
      <w:sz w:val="20"/>
      <w:szCs w:val="20"/>
      <w:lang w:val="en-GB" w:eastAsia="ru-RU" w:bidi="ar-SA"/>
    </w:rPr>
  </w:style>
  <w:style w:type="paragraph" w:styleId="BodyText2">
    <w:name w:val="Body Text 2"/>
    <w:basedOn w:val="Normal"/>
    <w:qFormat/>
    <w:pPr>
      <w:widowControl/>
      <w:suppressAutoHyphens w:val="true"/>
      <w:spacing w:lineRule="auto" w:line="480" w:before="0" w:after="120"/>
      <w:jc w:val="start"/>
      <w:textAlignment w:val="auto"/>
    </w:pPr>
    <w:rPr>
      <w:rFonts w:cs="Times New Roman"/>
      <w:kern w:val="2"/>
      <w:sz w:val="20"/>
      <w:szCs w:val="20"/>
      <w:lang w:val="ru-RU" w:eastAsia="ru-RU" w:bidi="ar-SA"/>
    </w:rPr>
  </w:style>
  <w:style w:type="paragraph" w:styleId="BodyTextIndent">
    <w:name w:val="Body Text Indent"/>
    <w:basedOn w:val="Normal"/>
    <w:pPr>
      <w:widowControl/>
      <w:suppressAutoHyphens w:val="true"/>
      <w:spacing w:before="0" w:after="120"/>
      <w:ind w:start="283"/>
      <w:jc w:val="start"/>
      <w:textAlignment w:val="auto"/>
    </w:pPr>
    <w:rPr>
      <w:rFonts w:cs="Times New Roman"/>
      <w:kern w:val="2"/>
      <w:sz w:val="20"/>
      <w:szCs w:val="20"/>
      <w:lang w:val="ru-RU" w:eastAsia="ru-RU" w:bidi="ar-SA"/>
    </w:rPr>
  </w:style>
  <w:style w:type="paragraph" w:styleId="TableGrid">
    <w:name w:val="Table Grid"/>
    <w:basedOn w:val="NormalTable"/>
    <w:qFormat/>
    <w:pPr>
      <w:widowControl/>
      <w:pBdr/>
      <w:jc w:val="start"/>
      <w:textAlignment w:val="auto"/>
    </w:pPr>
    <w:rPr>
      <w:rFonts w:ascii="Calibri" w:hAnsi="Calibri" w:eastAsia="Times New Roman" w:cs="Times New Roman"/>
      <w:kern w:val="2"/>
      <w:sz w:val="24"/>
      <w:szCs w:val="24"/>
      <w:lang w:val="ru-RU" w:eastAsia="ru-RU" w:bidi="ar-SA"/>
    </w:rPr>
  </w:style>
  <w:style w:type="paragraph" w:styleId="caeeebeeedf2e8f2f3eb">
    <w:name w:val="Кcaоeeлebоeeнedтf2иe8тf2уf3лeb"/>
    <w:basedOn w:val="Normal"/>
    <w:qFormat/>
    <w:pPr>
      <w:widowControl/>
      <w:tabs>
        <w:tab w:val="clear" w:pos="708"/>
        <w:tab w:val="center" w:pos="4960" w:leader="none"/>
        <w:tab w:val="right" w:pos="9921" w:leader="none"/>
      </w:tabs>
      <w:suppressAutoHyphens w:val="true"/>
      <w:jc w:val="start"/>
      <w:textAlignment w:val="auto"/>
    </w:pPr>
    <w:rPr>
      <w:rFonts w:cs="Times New Roman"/>
      <w:kern w:val="2"/>
      <w:sz w:val="20"/>
      <w:szCs w:val="20"/>
      <w:lang w:val="ru-RU" w:eastAsia="ru-RU" w:bidi="ar-SA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caeeebeeedf2e8f2f3eb"/>
    <w:pPr>
      <w:widowControl/>
      <w:suppressAutoHyphens w:val="true"/>
      <w:jc w:val="start"/>
      <w:textAlignment w:val="auto"/>
    </w:pPr>
    <w:rPr>
      <w:rFonts w:cs="Times New Roman"/>
      <w:kern w:val="2"/>
      <w:sz w:val="20"/>
      <w:szCs w:val="20"/>
      <w:lang w:val="ru-RU" w:eastAsia="ru-RU" w:bidi="ar-SA"/>
    </w:rPr>
  </w:style>
  <w:style w:type="paragraph" w:styleId="Standard">
    <w:name w:val="Standard"/>
    <w:qFormat/>
    <w:pPr>
      <w:widowControl/>
      <w:suppressAutoHyphens w:val="true"/>
      <w:bidi w:val="0"/>
      <w:jc w:val="star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LibreOffice/24.2.7.2$Linux_X86_64 LibreOffice_project/420$Build-2</Application>
  <AppVersion>15.0000</AppVersion>
  <Pages>5</Pages>
  <Words>1060</Words>
  <Characters>6834</Characters>
  <CharactersWithSpaces>8199</CharactersWithSpaces>
  <Paragraphs>134</Paragraphs>
  <Company>Элдис-Софт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2025-10-28T13:20:00Z</dcterms:created>
  <dc:creator>Емельянов Евгений</dc:creator>
  <dc:description/>
  <dc:language>ru-RU</dc:language>
  <cp:lastModifiedBy/>
  <dcterms:modified xsi:type="dcterms:W3CDTF">2025-10-28T13:25:00Z</dcterms:modified>
  <cp:revision>3</cp:revision>
  <dc:subject/>
  <dc:title>ПРОТОКОЛ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Алла Оборина</vt:lpwstr>
  </property>
</Properties>
</file>